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FC" w:rsidRPr="001E22F7" w:rsidRDefault="007A7BFC" w:rsidP="000415A9">
      <w:pPr>
        <w:widowControl w:val="0"/>
        <w:autoSpaceDE w:val="0"/>
        <w:autoSpaceDN w:val="0"/>
        <w:adjustRightInd w:val="0"/>
        <w:spacing w:after="240"/>
        <w:ind w:left="567" w:right="418"/>
        <w:jc w:val="center"/>
        <w:rPr>
          <w:rFonts w:ascii="Times New Roman" w:hAnsi="Times New Roman"/>
          <w:b/>
          <w:lang w:eastAsia="ja-JP"/>
        </w:rPr>
      </w:pPr>
      <w:r w:rsidRPr="001E22F7">
        <w:rPr>
          <w:rFonts w:ascii="Times New Roman" w:hAnsi="Times New Roman"/>
          <w:b/>
          <w:sz w:val="32"/>
          <w:szCs w:val="32"/>
          <w:lang w:eastAsia="ja-JP"/>
        </w:rPr>
        <w:t>La filosofia della condivisione nel progetto di Piuarch per l’edicola Caritas ad EXPO 2015</w:t>
      </w:r>
      <w:r w:rsidRPr="001E22F7">
        <w:rPr>
          <w:rFonts w:ascii="Times New Roman" w:hAnsi="Times New Roman"/>
          <w:b/>
          <w:lang w:eastAsia="ja-JP"/>
        </w:rPr>
        <w:t xml:space="preserve"> </w:t>
      </w:r>
    </w:p>
    <w:p w:rsidR="007A7BFC" w:rsidRPr="001E22F7" w:rsidRDefault="007A7BFC" w:rsidP="000415A9">
      <w:pPr>
        <w:ind w:left="567" w:right="418"/>
        <w:jc w:val="center"/>
        <w:rPr>
          <w:rFonts w:ascii="Times New Roman" w:hAnsi="Times New Roman"/>
          <w:i/>
          <w:sz w:val="20"/>
          <w:szCs w:val="20"/>
        </w:rPr>
      </w:pPr>
      <w:r>
        <w:rPr>
          <w:rFonts w:ascii="Times New Roman" w:hAnsi="Times New Roman"/>
          <w:i/>
          <w:sz w:val="20"/>
          <w:szCs w:val="20"/>
        </w:rPr>
        <w:t>“</w:t>
      </w:r>
      <w:r w:rsidRPr="001E22F7">
        <w:rPr>
          <w:rFonts w:ascii="Times New Roman" w:hAnsi="Times New Roman"/>
          <w:i/>
          <w:sz w:val="20"/>
          <w:szCs w:val="20"/>
        </w:rPr>
        <w:t>Dividere per moltiplicare. Spezzare il pane</w:t>
      </w:r>
      <w:r>
        <w:rPr>
          <w:rFonts w:ascii="Times New Roman" w:hAnsi="Times New Roman"/>
          <w:i/>
          <w:sz w:val="20"/>
          <w:szCs w:val="20"/>
        </w:rPr>
        <w:t xml:space="preserve">” trova rappresentazione tridimensionale nell’edicola con cui Caritas è presente in Expo </w:t>
      </w:r>
    </w:p>
    <w:p w:rsidR="007A7BFC" w:rsidRPr="001E22F7" w:rsidRDefault="007A7BFC" w:rsidP="000415A9">
      <w:pPr>
        <w:widowControl w:val="0"/>
        <w:autoSpaceDE w:val="0"/>
        <w:autoSpaceDN w:val="0"/>
        <w:adjustRightInd w:val="0"/>
        <w:spacing w:after="240"/>
        <w:ind w:left="567" w:right="418"/>
        <w:jc w:val="both"/>
        <w:rPr>
          <w:rFonts w:ascii="Times New Roman" w:hAnsi="Times New Roman"/>
          <w:b/>
          <w:lang w:eastAsia="ja-JP"/>
        </w:rPr>
      </w:pPr>
      <w:bookmarkStart w:id="0" w:name="_GoBack"/>
      <w:bookmarkEnd w:id="0"/>
      <w:r w:rsidRPr="001E22F7">
        <w:rPr>
          <w:rFonts w:ascii="Times New Roman" w:hAnsi="Times New Roman"/>
          <w:b/>
          <w:lang w:eastAsia="ja-JP"/>
        </w:rPr>
        <w:t>Il Concept</w:t>
      </w:r>
    </w:p>
    <w:p w:rsidR="007A7BFC" w:rsidRPr="001E22F7" w:rsidRDefault="007A7BFC" w:rsidP="000415A9">
      <w:pPr>
        <w:ind w:left="567" w:right="418"/>
        <w:jc w:val="both"/>
        <w:rPr>
          <w:rFonts w:ascii="Times New Roman" w:hAnsi="Times New Roman"/>
          <w:lang w:eastAsia="ja-JP"/>
        </w:rPr>
      </w:pPr>
      <w:r>
        <w:rPr>
          <w:rFonts w:ascii="Times New Roman" w:hAnsi="Times New Roman"/>
          <w:lang w:eastAsia="ja-JP"/>
        </w:rPr>
        <w:t>Piuarch progetta l’edicola Caritas per Expo 2015, trasmettendo</w:t>
      </w:r>
      <w:r w:rsidRPr="001E22F7">
        <w:rPr>
          <w:rFonts w:ascii="Times New Roman" w:hAnsi="Times New Roman"/>
          <w:lang w:eastAsia="ja-JP"/>
        </w:rPr>
        <w:t xml:space="preserve"> in una dimensione fisica e funzionale i valori e i significati del tema: la divisione come ricchezza. </w:t>
      </w:r>
      <w:r w:rsidRPr="001E22F7">
        <w:rPr>
          <w:rFonts w:ascii="Times New Roman" w:hAnsi="Times New Roman"/>
        </w:rPr>
        <w:t xml:space="preserve">Il concept architettonico della struttura è incentrato sull’idea della divisione come opportunità. </w:t>
      </w:r>
    </w:p>
    <w:p w:rsidR="007A7BFC" w:rsidRPr="001E22F7" w:rsidRDefault="007A7BFC" w:rsidP="000415A9">
      <w:pPr>
        <w:widowControl w:val="0"/>
        <w:autoSpaceDE w:val="0"/>
        <w:autoSpaceDN w:val="0"/>
        <w:adjustRightInd w:val="0"/>
        <w:spacing w:after="240"/>
        <w:ind w:left="567" w:right="418"/>
        <w:jc w:val="both"/>
        <w:rPr>
          <w:rFonts w:ascii="Times New Roman" w:hAnsi="Times New Roman"/>
          <w:b/>
        </w:rPr>
      </w:pPr>
      <w:r w:rsidRPr="001E22F7">
        <w:rPr>
          <w:rFonts w:ascii="Times New Roman" w:hAnsi="Times New Roman"/>
          <w:b/>
        </w:rPr>
        <w:t>Uno spazio esperienziale</w:t>
      </w:r>
    </w:p>
    <w:p w:rsidR="007A7BFC" w:rsidRPr="001E22F7" w:rsidRDefault="007A7BFC" w:rsidP="000415A9">
      <w:pPr>
        <w:widowControl w:val="0"/>
        <w:autoSpaceDE w:val="0"/>
        <w:autoSpaceDN w:val="0"/>
        <w:adjustRightInd w:val="0"/>
        <w:spacing w:after="240"/>
        <w:ind w:left="567" w:right="418"/>
        <w:jc w:val="both"/>
        <w:rPr>
          <w:rFonts w:ascii="Times New Roman" w:hAnsi="Times New Roman"/>
        </w:rPr>
      </w:pPr>
      <w:r w:rsidRPr="001E22F7">
        <w:rPr>
          <w:rFonts w:ascii="Times New Roman" w:hAnsi="Times New Roman"/>
        </w:rPr>
        <w:t>Dividere per moltiplicare è un concetto che - oltre al cibo - si applica alle idee, ai luoghi, alle situazioni, alle conoscenze. Il tema e la filosofia della condivisione si trasformeranno in Expo in un luogo pensato per favorire l’incontro e lo scambio di esperienze. L’edicola sarà il motore e il centro di un network di incontri, conferenze, iniziative, discussioni. Non un solo luogo, ma 5 momenti, 5 esperienze per entrare in relazione con il tema DIVIDERE PER MOLTIPLICARE e con il mondo di Caritas.</w:t>
      </w:r>
    </w:p>
    <w:p w:rsidR="007A7BFC" w:rsidRPr="001E22F7" w:rsidRDefault="007A7BFC" w:rsidP="000415A9">
      <w:pPr>
        <w:widowControl w:val="0"/>
        <w:autoSpaceDE w:val="0"/>
        <w:autoSpaceDN w:val="0"/>
        <w:adjustRightInd w:val="0"/>
        <w:spacing w:after="240"/>
        <w:ind w:left="567" w:right="418"/>
        <w:jc w:val="both"/>
        <w:rPr>
          <w:rFonts w:ascii="Times New Roman" w:hAnsi="Times New Roman"/>
          <w:b/>
          <w:lang w:eastAsia="ja-JP"/>
        </w:rPr>
      </w:pPr>
      <w:r w:rsidRPr="001E22F7">
        <w:rPr>
          <w:rFonts w:ascii="Times New Roman" w:hAnsi="Times New Roman"/>
          <w:b/>
          <w:lang w:eastAsia="ja-JP"/>
        </w:rPr>
        <w:t>La localizzazione</w:t>
      </w:r>
    </w:p>
    <w:p w:rsidR="007A7BFC" w:rsidRPr="001E22F7" w:rsidRDefault="007A7BFC" w:rsidP="000415A9">
      <w:pPr>
        <w:ind w:left="567" w:right="418"/>
        <w:jc w:val="both"/>
        <w:rPr>
          <w:rFonts w:ascii="Times New Roman" w:hAnsi="Times New Roman"/>
          <w:lang w:eastAsia="ja-JP"/>
        </w:rPr>
      </w:pPr>
      <w:r w:rsidRPr="001E22F7">
        <w:rPr>
          <w:rFonts w:ascii="Times New Roman" w:hAnsi="Times New Roman"/>
          <w:lang w:eastAsia="ja-JP"/>
        </w:rPr>
        <w:t xml:space="preserve">L’edicola Caritas in Expo è posta in posizione strategica di fronte all’ingresso principale del sito, vicino ad alcuni dei padiglioni più importanti come il padiglione Zero. Questa collocazione assicura la massima visibilità e affluenza: si prevede che l’afflusso del 75% dei visitatori avverrà proprio da questo ingresso. </w:t>
      </w:r>
    </w:p>
    <w:p w:rsidR="007A7BFC" w:rsidRPr="001E22F7" w:rsidRDefault="007A7BFC" w:rsidP="000415A9">
      <w:pPr>
        <w:ind w:left="567" w:right="418"/>
        <w:jc w:val="both"/>
        <w:rPr>
          <w:rFonts w:ascii="Times New Roman" w:hAnsi="Times New Roman"/>
          <w:b/>
        </w:rPr>
      </w:pPr>
      <w:r w:rsidRPr="001E22F7">
        <w:rPr>
          <w:rFonts w:ascii="Times New Roman" w:hAnsi="Times New Roman"/>
          <w:b/>
        </w:rPr>
        <w:t>Materiali e struttura</w:t>
      </w:r>
    </w:p>
    <w:p w:rsidR="007A7BFC" w:rsidRPr="001E22F7" w:rsidRDefault="007A7BFC" w:rsidP="000415A9">
      <w:pPr>
        <w:ind w:left="567" w:right="418"/>
        <w:jc w:val="both"/>
        <w:rPr>
          <w:rFonts w:ascii="Times New Roman" w:hAnsi="Times New Roman"/>
        </w:rPr>
      </w:pPr>
      <w:r w:rsidRPr="001E22F7">
        <w:rPr>
          <w:rFonts w:ascii="Times New Roman" w:hAnsi="Times New Roman"/>
        </w:rPr>
        <w:t>La caratteristica più interessante è la struttura molto semplice, la cui specificità è nella composizione dei volumi e nell’essenzialità delle forme. La forma nasce dalle idee che permeano lo spirito di Caritas, la struttura si suddivide in forme simili tra loro ma non uguali per dimensioni, che si configurano in base alle funzioni differenti che ospitano, gli ambienti si dispongono sul terreno mantenendosi uniti da un vertice, richiamando la pianta quadrata da cui nasce l’edicola. Nonostante le differenze dimensionali l’uniformità è data dal profilo strutturale che mantiene le stesse dimensioni esterne, dal colore e dal materiale unitario.</w:t>
      </w:r>
    </w:p>
    <w:p w:rsidR="007A7BFC" w:rsidRPr="001E22F7" w:rsidRDefault="007A7BFC" w:rsidP="000415A9">
      <w:pPr>
        <w:ind w:left="567" w:right="418"/>
        <w:jc w:val="both"/>
        <w:rPr>
          <w:rFonts w:ascii="Times New Roman" w:hAnsi="Times New Roman"/>
        </w:rPr>
      </w:pPr>
      <w:r w:rsidRPr="001E22F7">
        <w:rPr>
          <w:rFonts w:ascii="Times New Roman" w:hAnsi="Times New Roman"/>
        </w:rPr>
        <w:t xml:space="preserve">Il Padiglione nella sua essenzialità costruttiva è realmente ecosostenibile, non prevede condizionamento perché le pareti esterne sono permeabili all’aria, la struttura sfrutta al massimo la luminosità diurna, riducendo l’utilizzo di energia. Il rivestimento esterno è realizzato in rete in PVC pre tesata. </w:t>
      </w:r>
    </w:p>
    <w:p w:rsidR="007A7BFC" w:rsidRPr="001E22F7" w:rsidRDefault="007A7BFC" w:rsidP="000415A9">
      <w:pPr>
        <w:ind w:left="567" w:right="418"/>
        <w:jc w:val="both"/>
        <w:rPr>
          <w:rFonts w:ascii="Times New Roman" w:hAnsi="Times New Roman"/>
        </w:rPr>
      </w:pPr>
      <w:r w:rsidRPr="001E22F7">
        <w:rPr>
          <w:rFonts w:ascii="Times New Roman" w:hAnsi="Times New Roman"/>
        </w:rPr>
        <w:t>L’edicola si compone di diversi elementi: una parte esterna pavimentata di 200 mq che accoglie i visitatori, una parte coperta di 150 mq dove sono dislocate le diverse aree, una parte a verde di 550 mq.</w:t>
      </w:r>
    </w:p>
    <w:p w:rsidR="007A7BFC" w:rsidRPr="001E22F7" w:rsidRDefault="007A7BFC" w:rsidP="000415A9">
      <w:pPr>
        <w:widowControl w:val="0"/>
        <w:autoSpaceDE w:val="0"/>
        <w:autoSpaceDN w:val="0"/>
        <w:adjustRightInd w:val="0"/>
        <w:spacing w:after="240"/>
        <w:ind w:left="567" w:right="418"/>
        <w:jc w:val="both"/>
        <w:rPr>
          <w:rFonts w:ascii="Times New Roman" w:hAnsi="Times New Roman"/>
          <w:b/>
          <w:iCs/>
          <w:lang w:eastAsia="ja-JP"/>
        </w:rPr>
      </w:pPr>
      <w:r w:rsidRPr="001E22F7">
        <w:rPr>
          <w:rFonts w:ascii="Times New Roman" w:hAnsi="Times New Roman"/>
          <w:b/>
          <w:iCs/>
          <w:lang w:eastAsia="ja-JP"/>
        </w:rPr>
        <w:t>Il riuso dell’edicola</w:t>
      </w:r>
    </w:p>
    <w:p w:rsidR="007A7BFC" w:rsidRDefault="007A7BFC" w:rsidP="000415A9">
      <w:pPr>
        <w:autoSpaceDE w:val="0"/>
        <w:autoSpaceDN w:val="0"/>
        <w:adjustRightInd w:val="0"/>
        <w:spacing w:after="0"/>
        <w:ind w:left="567" w:right="418"/>
        <w:jc w:val="both"/>
        <w:rPr>
          <w:rFonts w:ascii="Times New Roman" w:hAnsi="Times New Roman"/>
        </w:rPr>
      </w:pPr>
      <w:r w:rsidRPr="001E22F7">
        <w:rPr>
          <w:rFonts w:ascii="Times New Roman" w:hAnsi="Times New Roman"/>
        </w:rPr>
        <w:t>Condividere i messaggi per condividere i luoghi. Il Padiglione Caritas non completa la propria funzione al termine di EXPO ma rinnova il proprio messaggio mutando luogo come funzione. La struttura è stata progettata pensando a come poi doverla efficientemente smontare e rimontare altrove. Per forma, struttura e volumi, padiglione potrà diventare una scuola, un centro di ascolto del disagio, un luogo da cui erogare servizi di primo supporto ai bisognosi.</w:t>
      </w:r>
    </w:p>
    <w:p w:rsidR="007A7BFC" w:rsidRPr="001E22F7" w:rsidRDefault="007A7BFC" w:rsidP="000415A9">
      <w:pPr>
        <w:autoSpaceDE w:val="0"/>
        <w:autoSpaceDN w:val="0"/>
        <w:adjustRightInd w:val="0"/>
        <w:spacing w:after="0"/>
        <w:ind w:left="567" w:right="418"/>
        <w:jc w:val="both"/>
        <w:rPr>
          <w:rFonts w:ascii="Times New Roman" w:hAnsi="Times New Roman"/>
        </w:rPr>
      </w:pPr>
    </w:p>
    <w:p w:rsidR="007A7BFC" w:rsidRPr="001E22F7" w:rsidRDefault="007A7BFC" w:rsidP="000415A9">
      <w:pPr>
        <w:ind w:left="567" w:right="418"/>
        <w:jc w:val="both"/>
        <w:rPr>
          <w:rFonts w:ascii="Times New Roman" w:hAnsi="Times New Roman"/>
          <w:b/>
          <w:smallCaps/>
        </w:rPr>
      </w:pPr>
      <w:r w:rsidRPr="001E22F7">
        <w:rPr>
          <w:rFonts w:ascii="Times New Roman" w:hAnsi="Times New Roman"/>
          <w:b/>
          <w:smallCaps/>
        </w:rPr>
        <w:t>Crediti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Committente:</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Caritas Internationalis, Caritas Italiana, Caritas Ambrosiana</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Ideazione:</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Caritas Ambrosiana (Sara Zandrini, Alessandro Comino)</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Concept e Progetto Architettonico:</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Piuarch (Francesco Fresa, Germàn Fuenmayor, Gino Garbellini, Monica Tricario)</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Team: Miguel Pallares, Davide Fascione, Gianluca Iannotta, Alessandro Laner, Alessandro Leanti, Enrico Pellegrini, Jenny Spagnolatti, Santiago Trujillo, Anna Zauli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Progetto Impiantistico (MEP):</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ESA Engineering</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team: Francesco Gori, Elena Ceroni, Laura Cocchini, Claudia Iacopo, Alessandro Pinnacarta</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Progetto Strutture:</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FV Progetti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team: Filippo Valaperta, Sabina Franco</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Progettazione Verde:</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Cornelius Gavril</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Individuazione, acquisizione e allestimento dell’opera d’arte a cura di: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Artache (Stefania Morellato, Graziela Bertolini, Luigi Garbini; Gianluca Ranzi)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L’opera “ENERGIA“ di Wolf Vostell proviene dal MUSEO VOSTELL MALPARTIDA. È una donazione della collezione FLUXUS di Gino Di Maggio al Museo.</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Direzione Lavori e Coordinamento Sicurezza:</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Arch. Laura Romanò</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Involucro esterno e tamponamenti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AMEA sistemi srl</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Arredi a cura di</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 xml:space="preserve">Emmemobili home forniture </w:t>
      </w:r>
      <w:hyperlink r:id="rId5" w:history="1">
        <w:r w:rsidRPr="007710F9">
          <w:rPr>
            <w:rStyle w:val="Hyperlink"/>
            <w:rFonts w:ascii="Times New Roman" w:hAnsi="Times New Roman"/>
            <w:i/>
            <w:iCs/>
            <w:lang w:eastAsia="it-IT"/>
          </w:rPr>
          <w:t>www.emmemobili.it</w:t>
        </w:r>
      </w:hyperlink>
      <w:r>
        <w:rPr>
          <w:rFonts w:ascii="Times New Roman" w:hAnsi="Times New Roman"/>
          <w:i/>
          <w:iCs/>
          <w:lang w:eastAsia="it-IT"/>
        </w:rPr>
        <w:t xml:space="preserve"> </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b/>
          <w:bCs/>
          <w:lang w:eastAsia="it-IT"/>
        </w:rPr>
      </w:pPr>
      <w:r>
        <w:rPr>
          <w:rFonts w:ascii="Times New Roman" w:hAnsi="Times New Roman"/>
          <w:b/>
          <w:bCs/>
          <w:lang w:eastAsia="it-IT"/>
        </w:rPr>
        <w:t>lluminazione</w:t>
      </w:r>
    </w:p>
    <w:p w:rsidR="007A7BFC" w:rsidRDefault="007A7BFC" w:rsidP="000415A9">
      <w:pPr>
        <w:widowControl w:val="0"/>
        <w:autoSpaceDE w:val="0"/>
        <w:autoSpaceDN w:val="0"/>
        <w:adjustRightInd w:val="0"/>
        <w:spacing w:after="0" w:line="288" w:lineRule="auto"/>
        <w:ind w:left="567" w:right="418"/>
        <w:jc w:val="both"/>
        <w:rPr>
          <w:rFonts w:ascii="Times New Roman" w:hAnsi="Times New Roman"/>
          <w:i/>
          <w:iCs/>
          <w:lang w:eastAsia="it-IT"/>
        </w:rPr>
      </w:pPr>
      <w:r>
        <w:rPr>
          <w:rFonts w:ascii="Times New Roman" w:hAnsi="Times New Roman"/>
          <w:i/>
          <w:iCs/>
          <w:lang w:eastAsia="it-IT"/>
        </w:rPr>
        <w:t xml:space="preserve">iGuzzini </w:t>
      </w:r>
      <w:hyperlink r:id="rId6" w:history="1">
        <w:r w:rsidRPr="007710F9">
          <w:rPr>
            <w:rStyle w:val="Hyperlink"/>
            <w:rFonts w:ascii="Times New Roman" w:hAnsi="Times New Roman"/>
            <w:i/>
            <w:iCs/>
            <w:lang w:eastAsia="it-IT"/>
          </w:rPr>
          <w:t>www.iguzzini.it</w:t>
        </w:r>
      </w:hyperlink>
      <w:r>
        <w:rPr>
          <w:rFonts w:ascii="Times New Roman" w:hAnsi="Times New Roman"/>
          <w:i/>
          <w:iCs/>
          <w:lang w:eastAsia="it-IT"/>
        </w:rPr>
        <w:t xml:space="preserve"> </w:t>
      </w:r>
    </w:p>
    <w:p w:rsidR="007A7BFC" w:rsidRDefault="007A7BFC" w:rsidP="000415A9">
      <w:pPr>
        <w:ind w:left="567" w:right="418"/>
        <w:jc w:val="both"/>
        <w:rPr>
          <w:rFonts w:ascii="Times New Roman" w:hAnsi="Times New Roman"/>
        </w:rPr>
      </w:pPr>
    </w:p>
    <w:p w:rsidR="007A7BFC" w:rsidRDefault="007A7BFC" w:rsidP="000415A9">
      <w:pPr>
        <w:ind w:left="567" w:right="418"/>
        <w:jc w:val="both"/>
        <w:rPr>
          <w:rFonts w:ascii="Times New Roman" w:hAnsi="Times New Roman"/>
        </w:rPr>
      </w:pPr>
    </w:p>
    <w:p w:rsidR="007A7BFC" w:rsidRPr="007A126A" w:rsidRDefault="007A7BFC" w:rsidP="007A126A">
      <w:pPr>
        <w:ind w:left="567" w:right="418"/>
        <w:jc w:val="both"/>
        <w:rPr>
          <w:rFonts w:ascii="Times New Roman" w:hAnsi="Times New Roman"/>
          <w:color w:val="FF0000"/>
        </w:rPr>
      </w:pPr>
      <w:r w:rsidRPr="007A126A">
        <w:rPr>
          <w:rFonts w:ascii="Times New Roman" w:hAnsi="Times New Roman"/>
        </w:rPr>
        <w:t xml:space="preserve">Caritas ringrazia per avere contribuito al progetto di realizzazione del Padiglione </w:t>
      </w:r>
      <w:r w:rsidRPr="009B0343">
        <w:rPr>
          <w:rFonts w:ascii="Times New Roman" w:hAnsi="Times New Roman"/>
        </w:rPr>
        <w:t>“</w:t>
      </w:r>
      <w:r w:rsidRPr="009B0343">
        <w:rPr>
          <w:rFonts w:ascii="Times New Roman" w:hAnsi="Times New Roman"/>
          <w:i/>
        </w:rPr>
        <w:t>Dividere per moltiplicare. Spezzare il pane</w:t>
      </w:r>
      <w:r w:rsidRPr="009B0343">
        <w:rPr>
          <w:rFonts w:ascii="Times New Roman" w:hAnsi="Times New Roman"/>
        </w:rPr>
        <w:t xml:space="preserve">” </w:t>
      </w:r>
      <w:r w:rsidRPr="007A126A">
        <w:rPr>
          <w:rFonts w:ascii="Times New Roman" w:hAnsi="Times New Roman"/>
        </w:rPr>
        <w:t xml:space="preserve">per Expo 2015: Piuarch, ESA Engineering, FV Progetti, Cornelius Gavril, AMEA sistemi S.R.L., </w:t>
      </w:r>
      <w:r w:rsidRPr="00B53237">
        <w:rPr>
          <w:rFonts w:ascii="Times New Roman" w:hAnsi="Times New Roman"/>
        </w:rPr>
        <w:t>Emmemobili home forniture</w:t>
      </w:r>
      <w:r w:rsidRPr="007A126A">
        <w:rPr>
          <w:rFonts w:ascii="Times New Roman" w:hAnsi="Times New Roman"/>
        </w:rPr>
        <w:t xml:space="preserve">, </w:t>
      </w:r>
      <w:r>
        <w:rPr>
          <w:rFonts w:ascii="Times New Roman" w:hAnsi="Times New Roman"/>
        </w:rPr>
        <w:t>i</w:t>
      </w:r>
      <w:r w:rsidRPr="007A126A">
        <w:rPr>
          <w:rFonts w:ascii="Times New Roman" w:hAnsi="Times New Roman"/>
        </w:rPr>
        <w:t>Guzzini</w:t>
      </w:r>
      <w:r>
        <w:rPr>
          <w:rFonts w:ascii="Times New Roman" w:hAnsi="Times New Roman"/>
        </w:rPr>
        <w:t>.</w:t>
      </w:r>
    </w:p>
    <w:sectPr w:rsidR="007A7BFC" w:rsidRPr="007A126A" w:rsidSect="003C1CAD">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1AF6"/>
    <w:multiLevelType w:val="hybridMultilevel"/>
    <w:tmpl w:val="0A5AA084"/>
    <w:lvl w:ilvl="0" w:tplc="4A34FF2C">
      <w:numFmt w:val="bullet"/>
      <w:lvlText w:val="-"/>
      <w:lvlJc w:val="left"/>
      <w:pPr>
        <w:ind w:left="1920" w:hanging="360"/>
      </w:pPr>
      <w:rPr>
        <w:rFonts w:ascii="Times New Roman" w:eastAsia="MS ??" w:hAnsi="Times New Roman" w:hint="default"/>
      </w:rPr>
    </w:lvl>
    <w:lvl w:ilvl="1" w:tplc="04100003" w:tentative="1">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
    <w:nsid w:val="361E4854"/>
    <w:multiLevelType w:val="hybridMultilevel"/>
    <w:tmpl w:val="EBC4703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nsid w:val="387E7AB8"/>
    <w:multiLevelType w:val="hybridMultilevel"/>
    <w:tmpl w:val="57B8943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426B4AB4"/>
    <w:multiLevelType w:val="hybridMultilevel"/>
    <w:tmpl w:val="063A1C4A"/>
    <w:lvl w:ilvl="0" w:tplc="4A34FF2C">
      <w:numFmt w:val="bullet"/>
      <w:lvlText w:val="-"/>
      <w:lvlJc w:val="left"/>
      <w:pPr>
        <w:ind w:left="927" w:hanging="360"/>
      </w:pPr>
      <w:rPr>
        <w:rFonts w:ascii="Times New Roman" w:eastAsia="MS ??" w:hAnsi="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nsid w:val="4C133245"/>
    <w:multiLevelType w:val="hybridMultilevel"/>
    <w:tmpl w:val="6F045364"/>
    <w:lvl w:ilvl="0" w:tplc="4A34FF2C">
      <w:numFmt w:val="bullet"/>
      <w:lvlText w:val="-"/>
      <w:lvlJc w:val="left"/>
      <w:pPr>
        <w:ind w:left="927" w:hanging="360"/>
      </w:pPr>
      <w:rPr>
        <w:rFonts w:ascii="Times New Roman" w:eastAsia="MS ??"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A7A3BBC"/>
    <w:multiLevelType w:val="hybridMultilevel"/>
    <w:tmpl w:val="E8EC3C32"/>
    <w:lvl w:ilvl="0" w:tplc="27DEED94">
      <w:start w:val="1"/>
      <w:numFmt w:val="bullet"/>
      <w:lvlText w:val="-"/>
      <w:lvlJc w:val="left"/>
      <w:pPr>
        <w:ind w:left="927" w:hanging="360"/>
      </w:pPr>
      <w:rPr>
        <w:rFonts w:ascii="Times New Roman" w:eastAsia="Times New Roman" w:hAnsi="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nsid w:val="5DB66613"/>
    <w:multiLevelType w:val="hybridMultilevel"/>
    <w:tmpl w:val="80326096"/>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05C"/>
    <w:rsid w:val="00012169"/>
    <w:rsid w:val="00012B0C"/>
    <w:rsid w:val="000159AC"/>
    <w:rsid w:val="0002795E"/>
    <w:rsid w:val="00032F4A"/>
    <w:rsid w:val="00034BDA"/>
    <w:rsid w:val="000415A9"/>
    <w:rsid w:val="0006096B"/>
    <w:rsid w:val="000711B1"/>
    <w:rsid w:val="0007507E"/>
    <w:rsid w:val="00077DCB"/>
    <w:rsid w:val="00092AF0"/>
    <w:rsid w:val="0009517C"/>
    <w:rsid w:val="000A3FE2"/>
    <w:rsid w:val="000A4058"/>
    <w:rsid w:val="000A7B2B"/>
    <w:rsid w:val="000B7CBC"/>
    <w:rsid w:val="000D1EC2"/>
    <w:rsid w:val="000D40D7"/>
    <w:rsid w:val="000E4040"/>
    <w:rsid w:val="000E4D2A"/>
    <w:rsid w:val="000F3DB6"/>
    <w:rsid w:val="0013174A"/>
    <w:rsid w:val="00134EDA"/>
    <w:rsid w:val="001417CD"/>
    <w:rsid w:val="00142719"/>
    <w:rsid w:val="00153278"/>
    <w:rsid w:val="0015731A"/>
    <w:rsid w:val="001623E7"/>
    <w:rsid w:val="00175B74"/>
    <w:rsid w:val="00186B3B"/>
    <w:rsid w:val="001948E0"/>
    <w:rsid w:val="001B1B38"/>
    <w:rsid w:val="001E22F7"/>
    <w:rsid w:val="001F105B"/>
    <w:rsid w:val="0020040A"/>
    <w:rsid w:val="00227C01"/>
    <w:rsid w:val="002336F9"/>
    <w:rsid w:val="00233868"/>
    <w:rsid w:val="0023587B"/>
    <w:rsid w:val="002548D3"/>
    <w:rsid w:val="0028360F"/>
    <w:rsid w:val="00290B55"/>
    <w:rsid w:val="002A770A"/>
    <w:rsid w:val="002B1A68"/>
    <w:rsid w:val="002E0933"/>
    <w:rsid w:val="002F5F6A"/>
    <w:rsid w:val="00301288"/>
    <w:rsid w:val="00302B32"/>
    <w:rsid w:val="003131F7"/>
    <w:rsid w:val="00340A54"/>
    <w:rsid w:val="00353523"/>
    <w:rsid w:val="00354C45"/>
    <w:rsid w:val="00354C71"/>
    <w:rsid w:val="0035715C"/>
    <w:rsid w:val="00360BA8"/>
    <w:rsid w:val="0037413F"/>
    <w:rsid w:val="0038420E"/>
    <w:rsid w:val="003965D9"/>
    <w:rsid w:val="003A1737"/>
    <w:rsid w:val="003A76A9"/>
    <w:rsid w:val="003B763E"/>
    <w:rsid w:val="003C1CAD"/>
    <w:rsid w:val="003E7722"/>
    <w:rsid w:val="004104FE"/>
    <w:rsid w:val="00410E9D"/>
    <w:rsid w:val="00414850"/>
    <w:rsid w:val="00416138"/>
    <w:rsid w:val="0042560E"/>
    <w:rsid w:val="00445E51"/>
    <w:rsid w:val="0044604A"/>
    <w:rsid w:val="00450D10"/>
    <w:rsid w:val="00456A5F"/>
    <w:rsid w:val="0046466E"/>
    <w:rsid w:val="004925CF"/>
    <w:rsid w:val="00493551"/>
    <w:rsid w:val="004A3C90"/>
    <w:rsid w:val="004A5BCA"/>
    <w:rsid w:val="004B3780"/>
    <w:rsid w:val="004C5592"/>
    <w:rsid w:val="00531BE5"/>
    <w:rsid w:val="005368A8"/>
    <w:rsid w:val="0053785D"/>
    <w:rsid w:val="0055361E"/>
    <w:rsid w:val="0056437E"/>
    <w:rsid w:val="00565770"/>
    <w:rsid w:val="0057243C"/>
    <w:rsid w:val="00573DA2"/>
    <w:rsid w:val="005E3EAA"/>
    <w:rsid w:val="005F2157"/>
    <w:rsid w:val="00607DF6"/>
    <w:rsid w:val="00616567"/>
    <w:rsid w:val="006234E2"/>
    <w:rsid w:val="00633AFF"/>
    <w:rsid w:val="0064636F"/>
    <w:rsid w:val="00650552"/>
    <w:rsid w:val="00665980"/>
    <w:rsid w:val="00675097"/>
    <w:rsid w:val="00676094"/>
    <w:rsid w:val="00685CE3"/>
    <w:rsid w:val="006B1A7C"/>
    <w:rsid w:val="006C261A"/>
    <w:rsid w:val="006F39DE"/>
    <w:rsid w:val="00720EA5"/>
    <w:rsid w:val="00733795"/>
    <w:rsid w:val="00751476"/>
    <w:rsid w:val="00761FA1"/>
    <w:rsid w:val="007710F9"/>
    <w:rsid w:val="007A0A56"/>
    <w:rsid w:val="007A126A"/>
    <w:rsid w:val="007A7BFC"/>
    <w:rsid w:val="007B2FB3"/>
    <w:rsid w:val="007C7531"/>
    <w:rsid w:val="007C7D67"/>
    <w:rsid w:val="007E02A2"/>
    <w:rsid w:val="007E28D6"/>
    <w:rsid w:val="007E31C0"/>
    <w:rsid w:val="007E4955"/>
    <w:rsid w:val="007F55FE"/>
    <w:rsid w:val="0082075D"/>
    <w:rsid w:val="0082201E"/>
    <w:rsid w:val="00874683"/>
    <w:rsid w:val="0088635E"/>
    <w:rsid w:val="00892CE1"/>
    <w:rsid w:val="008A6901"/>
    <w:rsid w:val="008B4252"/>
    <w:rsid w:val="008B4486"/>
    <w:rsid w:val="008B4A80"/>
    <w:rsid w:val="008C2FFA"/>
    <w:rsid w:val="008E6EA7"/>
    <w:rsid w:val="00910836"/>
    <w:rsid w:val="00920E13"/>
    <w:rsid w:val="00930293"/>
    <w:rsid w:val="0093375C"/>
    <w:rsid w:val="009707BA"/>
    <w:rsid w:val="0097568F"/>
    <w:rsid w:val="00985BF8"/>
    <w:rsid w:val="009B0343"/>
    <w:rsid w:val="009C4DFD"/>
    <w:rsid w:val="009D468B"/>
    <w:rsid w:val="009E1AD7"/>
    <w:rsid w:val="00A142ED"/>
    <w:rsid w:val="00A216A2"/>
    <w:rsid w:val="00A82065"/>
    <w:rsid w:val="00AC597A"/>
    <w:rsid w:val="00AD7E54"/>
    <w:rsid w:val="00B0296F"/>
    <w:rsid w:val="00B07D2F"/>
    <w:rsid w:val="00B178B8"/>
    <w:rsid w:val="00B20606"/>
    <w:rsid w:val="00B2096D"/>
    <w:rsid w:val="00B25A9B"/>
    <w:rsid w:val="00B34450"/>
    <w:rsid w:val="00B44388"/>
    <w:rsid w:val="00B53237"/>
    <w:rsid w:val="00B53D11"/>
    <w:rsid w:val="00B85B71"/>
    <w:rsid w:val="00B9437D"/>
    <w:rsid w:val="00BB13E3"/>
    <w:rsid w:val="00BC2F36"/>
    <w:rsid w:val="00BC5D06"/>
    <w:rsid w:val="00BD2C40"/>
    <w:rsid w:val="00BE152C"/>
    <w:rsid w:val="00BF0B45"/>
    <w:rsid w:val="00C06B2C"/>
    <w:rsid w:val="00C15574"/>
    <w:rsid w:val="00C37ACD"/>
    <w:rsid w:val="00C54145"/>
    <w:rsid w:val="00C56588"/>
    <w:rsid w:val="00C611B3"/>
    <w:rsid w:val="00CA2A0F"/>
    <w:rsid w:val="00CB30DF"/>
    <w:rsid w:val="00CC4B9B"/>
    <w:rsid w:val="00CD2901"/>
    <w:rsid w:val="00CE6E09"/>
    <w:rsid w:val="00D00020"/>
    <w:rsid w:val="00D0659C"/>
    <w:rsid w:val="00D142EA"/>
    <w:rsid w:val="00D328DA"/>
    <w:rsid w:val="00D33284"/>
    <w:rsid w:val="00D44B62"/>
    <w:rsid w:val="00D57DA8"/>
    <w:rsid w:val="00D6075F"/>
    <w:rsid w:val="00D746C8"/>
    <w:rsid w:val="00D803E4"/>
    <w:rsid w:val="00D8202D"/>
    <w:rsid w:val="00D8474D"/>
    <w:rsid w:val="00D90508"/>
    <w:rsid w:val="00D93BF7"/>
    <w:rsid w:val="00D97A28"/>
    <w:rsid w:val="00DA5CF2"/>
    <w:rsid w:val="00DD05BB"/>
    <w:rsid w:val="00DD23F3"/>
    <w:rsid w:val="00E14C8E"/>
    <w:rsid w:val="00E263E8"/>
    <w:rsid w:val="00E560AD"/>
    <w:rsid w:val="00E57E36"/>
    <w:rsid w:val="00E74F54"/>
    <w:rsid w:val="00E944F1"/>
    <w:rsid w:val="00EA065B"/>
    <w:rsid w:val="00EB305C"/>
    <w:rsid w:val="00EE616A"/>
    <w:rsid w:val="00EF6464"/>
    <w:rsid w:val="00EF74FF"/>
    <w:rsid w:val="00F008D7"/>
    <w:rsid w:val="00F01D5E"/>
    <w:rsid w:val="00F17BA6"/>
    <w:rsid w:val="00F26043"/>
    <w:rsid w:val="00F328D6"/>
    <w:rsid w:val="00F503B8"/>
    <w:rsid w:val="00F578DF"/>
    <w:rsid w:val="00F606FD"/>
    <w:rsid w:val="00F67DFC"/>
    <w:rsid w:val="00F753F9"/>
    <w:rsid w:val="00F76A43"/>
    <w:rsid w:val="00F76EB6"/>
    <w:rsid w:val="00F9540E"/>
    <w:rsid w:val="00FA092E"/>
    <w:rsid w:val="00FA50C2"/>
    <w:rsid w:val="00FB4A10"/>
    <w:rsid w:val="00FD3395"/>
    <w:rsid w:val="00FD7C75"/>
    <w:rsid w:val="00FE22B9"/>
    <w:rsid w:val="00FE7694"/>
    <w:rsid w:val="00FF2D2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5C"/>
    <w:pPr>
      <w:spacing w:after="200"/>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0A54"/>
    <w:rPr>
      <w:rFonts w:cs="Times New Roman"/>
      <w:color w:val="0000FF"/>
      <w:u w:val="single"/>
    </w:rPr>
  </w:style>
  <w:style w:type="paragraph" w:styleId="ListParagraph">
    <w:name w:val="List Paragraph"/>
    <w:basedOn w:val="Normal"/>
    <w:uiPriority w:val="99"/>
    <w:qFormat/>
    <w:rsid w:val="003A76A9"/>
    <w:pPr>
      <w:ind w:left="720"/>
      <w:contextualSpacing/>
    </w:pPr>
  </w:style>
</w:styles>
</file>

<file path=word/webSettings.xml><?xml version="1.0" encoding="utf-8"?>
<w:webSettings xmlns:r="http://schemas.openxmlformats.org/officeDocument/2006/relationships" xmlns:w="http://schemas.openxmlformats.org/wordprocessingml/2006/main">
  <w:divs>
    <w:div w:id="1315910002">
      <w:marLeft w:val="0"/>
      <w:marRight w:val="0"/>
      <w:marTop w:val="0"/>
      <w:marBottom w:val="0"/>
      <w:divBdr>
        <w:top w:val="none" w:sz="0" w:space="0" w:color="auto"/>
        <w:left w:val="none" w:sz="0" w:space="0" w:color="auto"/>
        <w:bottom w:val="none" w:sz="0" w:space="0" w:color="auto"/>
        <w:right w:val="none" w:sz="0" w:space="0" w:color="auto"/>
      </w:divBdr>
    </w:div>
    <w:div w:id="1315910003">
      <w:marLeft w:val="0"/>
      <w:marRight w:val="0"/>
      <w:marTop w:val="0"/>
      <w:marBottom w:val="0"/>
      <w:divBdr>
        <w:top w:val="none" w:sz="0" w:space="0" w:color="auto"/>
        <w:left w:val="none" w:sz="0" w:space="0" w:color="auto"/>
        <w:bottom w:val="none" w:sz="0" w:space="0" w:color="auto"/>
        <w:right w:val="none" w:sz="0" w:space="0" w:color="auto"/>
      </w:divBdr>
    </w:div>
    <w:div w:id="1315910004">
      <w:marLeft w:val="0"/>
      <w:marRight w:val="0"/>
      <w:marTop w:val="0"/>
      <w:marBottom w:val="0"/>
      <w:divBdr>
        <w:top w:val="none" w:sz="0" w:space="0" w:color="auto"/>
        <w:left w:val="none" w:sz="0" w:space="0" w:color="auto"/>
        <w:bottom w:val="none" w:sz="0" w:space="0" w:color="auto"/>
        <w:right w:val="none" w:sz="0" w:space="0" w:color="auto"/>
      </w:divBdr>
    </w:div>
    <w:div w:id="1315910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uzzini.it" TargetMode="External"/><Relationship Id="rId5" Type="http://schemas.openxmlformats.org/officeDocument/2006/relationships/hyperlink" Target="http://www.emmemobil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680</Words>
  <Characters>3876</Characters>
  <Application>Microsoft Office Outlook</Application>
  <DocSecurity>0</DocSecurity>
  <Lines>0</Lines>
  <Paragraphs>0</Paragraphs>
  <ScaleCrop>false</ScaleCrop>
  <Company>*** ********** * ********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DIVIDERE PER MOLTIPLICARE”</dc:title>
  <dc:subject/>
  <dc:creator>******* ********* **************</dc:creator>
  <cp:keywords/>
  <dc:description/>
  <cp:lastModifiedBy>alessia.mendichi</cp:lastModifiedBy>
  <cp:revision>2</cp:revision>
  <cp:lastPrinted>2015-03-26T14:42:00Z</cp:lastPrinted>
  <dcterms:created xsi:type="dcterms:W3CDTF">2015-03-27T15:37:00Z</dcterms:created>
  <dcterms:modified xsi:type="dcterms:W3CDTF">2015-03-27T15:37:00Z</dcterms:modified>
</cp:coreProperties>
</file>